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004" w:rsidRPr="0029603F" w:rsidRDefault="00ED4004">
      <w:pPr>
        <w:rPr>
          <w:rFonts w:asciiTheme="minorHAnsi" w:hAnsiTheme="minorHAnsi" w:cstheme="minorHAnsi"/>
        </w:rPr>
      </w:pPr>
      <w:r w:rsidRPr="0029603F">
        <w:rPr>
          <w:rFonts w:asciiTheme="minorHAnsi" w:hAnsiTheme="minorHAnsi" w:cstheme="minorHAnsi"/>
          <w:b/>
          <w:noProof/>
          <w:color w:val="000000"/>
          <w:shd w:val="clear" w:color="auto" w:fill="FFFFFF"/>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ragraph">
                  <wp:posOffset>264795</wp:posOffset>
                </wp:positionV>
                <wp:extent cx="6769100" cy="1404620"/>
                <wp:effectExtent l="19050" t="1905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1404620"/>
                        </a:xfrm>
                        <a:prstGeom prst="rect">
                          <a:avLst/>
                        </a:prstGeom>
                        <a:solidFill>
                          <a:srgbClr val="FFFFFF"/>
                        </a:solidFill>
                        <a:ln w="28575">
                          <a:solidFill>
                            <a:srgbClr val="000000"/>
                          </a:solidFill>
                          <a:miter lim="800000"/>
                          <a:headEnd/>
                          <a:tailEnd/>
                        </a:ln>
                      </wps:spPr>
                      <wps:txbx>
                        <w:txbxContent>
                          <w:p w:rsidR="00ED4004" w:rsidRPr="0029603F" w:rsidRDefault="00ED4004" w:rsidP="00ED4004">
                            <w:pPr>
                              <w:rPr>
                                <w:rFonts w:asciiTheme="minorHAnsi" w:hAnsiTheme="minorHAnsi" w:cstheme="minorHAnsi"/>
                                <w:b/>
                                <w:color w:val="000000"/>
                                <w:shd w:val="clear" w:color="auto" w:fill="FFFFFF"/>
                              </w:rPr>
                            </w:pPr>
                            <w:r w:rsidRPr="0029603F">
                              <w:rPr>
                                <w:rFonts w:asciiTheme="minorHAnsi" w:hAnsiTheme="minorHAnsi" w:cstheme="minorHAnsi"/>
                                <w:b/>
                                <w:color w:val="000000"/>
                                <w:shd w:val="clear" w:color="auto" w:fill="FFFFFF"/>
                              </w:rPr>
                              <w:t>RCW 13.34.065(7)(a)</w:t>
                            </w:r>
                          </w:p>
                          <w:p w:rsidR="00ED4004" w:rsidRPr="0029603F" w:rsidRDefault="00ED4004">
                            <w:pPr>
                              <w:rPr>
                                <w:rFonts w:asciiTheme="minorHAnsi" w:hAnsiTheme="minorHAnsi" w:cstheme="minorHAnsi"/>
                              </w:rPr>
                            </w:pPr>
                            <w:r w:rsidRPr="0029603F">
                              <w:rPr>
                                <w:rFonts w:asciiTheme="minorHAnsi" w:hAnsiTheme="minorHAnsi" w:cstheme="minorHAnsi"/>
                                <w:color w:val="000000"/>
                                <w:shd w:val="clear" w:color="auto" w:fill="FFFFFF"/>
                              </w:rPr>
                              <w:t>“A shelter care order issued pursuant to this section may be amended at any time with notice and hearing thereon. The shelter care decision of placement shall be modified only upon a showing of change in circumstances. No child may be placed in shelter care for longer than thirty days without an order, signed by the judge, authorizing continued shelter care.”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20.85pt;width:533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" strokeweight="2.25pt">
                <v:textbox style="mso-fit-shape-to-text:t">
                  <w:txbxContent>
                    <w:p w:rsidR="00ED4004" w:rsidRPr="0029603F" w:rsidRDefault="00ED4004" w:rsidP="00ED4004">
                      <w:pPr>
                        <w:rPr>
                          <w:rFonts w:asciiTheme="minorHAnsi" w:hAnsiTheme="minorHAnsi" w:cstheme="minorHAnsi"/>
                          <w:b/>
                          <w:color w:val="000000"/>
                          <w:shd w:val="clear" w:color="auto" w:fill="FFFFFF"/>
                        </w:rPr>
                      </w:pPr>
                      <w:r w:rsidRPr="0029603F">
                        <w:rPr>
                          <w:rFonts w:asciiTheme="minorHAnsi" w:hAnsiTheme="minorHAnsi" w:cstheme="minorHAnsi"/>
                          <w:b/>
                          <w:color w:val="000000"/>
                          <w:shd w:val="clear" w:color="auto" w:fill="FFFFFF"/>
                        </w:rPr>
                        <w:t>RCW 13.34.065(7)(a)</w:t>
                      </w:r>
                    </w:p>
                    <w:p w:rsidR="00ED4004" w:rsidRPr="0029603F" w:rsidRDefault="00ED4004">
                      <w:pPr>
                        <w:rPr>
                          <w:rFonts w:asciiTheme="minorHAnsi" w:hAnsiTheme="minorHAnsi" w:cstheme="minorHAnsi"/>
                        </w:rPr>
                      </w:pPr>
                      <w:r w:rsidRPr="0029603F">
                        <w:rPr>
                          <w:rFonts w:asciiTheme="minorHAnsi" w:hAnsiTheme="minorHAnsi" w:cstheme="minorHAnsi"/>
                          <w:color w:val="000000"/>
                          <w:shd w:val="clear" w:color="auto" w:fill="FFFFFF"/>
                        </w:rPr>
                        <w:t>“A shelter care order issued pursuant to this section may be amended at any time with notice and hearing thereon. The shelter care decision of placement shall be modified only upon a showing of change in circumstances. No child may be placed in shelter care for longer than thirty days without an order, signed by the judge, authorizing continued shelter care.”</w:t>
                      </w:r>
                    </w:p>
                  </w:txbxContent>
                </v:textbox>
                <w10:wrap type="square"/>
              </v:shape>
            </w:pict>
          </mc:Fallback>
        </mc:AlternateContent>
      </w:r>
    </w:p>
    <w:p w:rsidR="00ED4004" w:rsidRPr="0029603F" w:rsidRDefault="00ED4004">
      <w:pPr>
        <w:rPr>
          <w:rFonts w:asciiTheme="minorHAnsi" w:hAnsiTheme="minorHAnsi" w:cstheme="minorHAnsi"/>
        </w:rPr>
      </w:pPr>
    </w:p>
    <w:p w:rsidR="00ED4004" w:rsidRPr="0029603F" w:rsidRDefault="00ED4004" w:rsidP="00ED4004">
      <w:pPr>
        <w:rPr>
          <w:rFonts w:asciiTheme="minorHAnsi" w:hAnsiTheme="minorHAnsi" w:cstheme="minorHAnsi"/>
          <w:b/>
        </w:rPr>
      </w:pPr>
      <w:r w:rsidRPr="0029603F">
        <w:rPr>
          <w:rFonts w:asciiTheme="minorHAnsi" w:hAnsiTheme="minorHAnsi" w:cstheme="minorHAnsi"/>
          <w:b/>
        </w:rPr>
        <w:t>RCW 13.34.020</w:t>
      </w:r>
    </w:p>
    <w:p w:rsidR="004E5E0E" w:rsidRPr="0029603F" w:rsidRDefault="00ED4004" w:rsidP="00ED4004">
      <w:pPr>
        <w:rPr>
          <w:rFonts w:asciiTheme="minorHAnsi" w:hAnsiTheme="minorHAnsi" w:cstheme="minorHAnsi"/>
        </w:rPr>
      </w:pPr>
      <w:r w:rsidRPr="0029603F">
        <w:rPr>
          <w:rFonts w:asciiTheme="minorHAnsi" w:hAnsiTheme="minorHAnsi" w:cstheme="minorHAnsi"/>
        </w:rPr>
        <w:t>“The legislature declares that the family unit is a fundamental resource of American life which should be nurtured. Toward the continuance of this principle, the legislature declares that the family unit should remain intact unless a child's right to conditions of basic nurture, health, or safety is jeopardized. When the rights of basic nurture, physical and mental health, and safety of the child and the legal rights of the parents are in conflict, the rights and safety of the child should prevail. In making reasonable efforts under this chapter, the child's health and safety shall be the paramount concern. The right of a child to basic nurturing includes the right to a safe, stable, and permanent home and a speedy resolution of any proceeding under this chapter.”</w:t>
      </w:r>
    </w:p>
    <w:p w:rsidR="004E5E0E" w:rsidRDefault="004E5E0E">
      <w:pPr>
        <w:rPr>
          <w:rFonts w:asciiTheme="minorHAnsi" w:hAnsiTheme="minorHAnsi" w:cstheme="minorHAnsi"/>
        </w:rPr>
      </w:pPr>
    </w:p>
    <w:p w:rsidR="00F61D63" w:rsidRPr="0029603F" w:rsidRDefault="00F61D63">
      <w:pPr>
        <w:rPr>
          <w:rFonts w:asciiTheme="minorHAnsi" w:hAnsiTheme="minorHAnsi" w:cstheme="minorHAnsi"/>
        </w:rPr>
      </w:pPr>
    </w:p>
    <w:p w:rsidR="00ED4004" w:rsidRPr="0029603F" w:rsidRDefault="00ED4004" w:rsidP="00ED4004">
      <w:pPr>
        <w:rPr>
          <w:rFonts w:asciiTheme="minorHAnsi" w:hAnsiTheme="minorHAnsi" w:cstheme="minorHAnsi"/>
          <w:color w:val="000000"/>
          <w:shd w:val="clear" w:color="auto" w:fill="FFFFFF"/>
        </w:rPr>
      </w:pPr>
      <w:r w:rsidRPr="0029603F">
        <w:rPr>
          <w:rFonts w:asciiTheme="minorHAnsi" w:hAnsiTheme="minorHAnsi" w:cstheme="minorHAnsi"/>
          <w:b/>
          <w:color w:val="000000"/>
          <w:shd w:val="clear" w:color="auto" w:fill="FFFFFF"/>
        </w:rPr>
        <w:t>RCW 13.34.065(4)</w:t>
      </w:r>
    </w:p>
    <w:p w:rsidR="00ED4004" w:rsidRPr="0029603F" w:rsidRDefault="00ED4004" w:rsidP="00ED4004">
      <w:pPr>
        <w:rPr>
          <w:rFonts w:asciiTheme="minorHAnsi" w:hAnsiTheme="minorHAnsi" w:cstheme="minorHAnsi"/>
        </w:rPr>
      </w:pPr>
      <w:r w:rsidRPr="0029603F">
        <w:rPr>
          <w:rFonts w:asciiTheme="minorHAnsi" w:hAnsiTheme="minorHAnsi" w:cstheme="minorHAnsi"/>
        </w:rPr>
        <w:t>At the original shelter care hearing, “the paramount consideration for the court shall be the health, welfare, and safety of the child. At a minimum, the court shall inquire into the following:”</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Shelter care notice of custody and rights</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Whether the child can be safely returned home while the adjudication of the dependency is pending</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Efforts to place the child with a relative</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Services provided to the family to prevent or eliminate the need for removal, including whether housing assistance was provided if the dependency petition or other information alleges that homeless or a lack of suitable housing was a significant factor contributing to removal</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Whether the placement proposed by DCYF is the least disruptive and most family-like setting that meets the needs of the child</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Whether it is in the best interest of the child to remain enrolled in the school, developmental program, or child care the child was in prior to placement</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If so, the efforts to maintain the child in the school, program, or child care</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Appointment of a GAL/CASA or attorney</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Whether there is a “reason to know” the child is or may be an Indian child</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If so, compliance with ICWA and WICWA, including notifying the child’s tribe</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Whether restraining orders or other orders expelling an allegedly abusive household member from the home of a nonabusive parent will allow the child to safely remain in the home</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Whether orders for examinations, evaluations, or immediate services are needed (reminder: these cannot be ordered unless the parent agrees)</w:t>
      </w:r>
    </w:p>
    <w:p w:rsidR="0061030E" w:rsidRPr="0029603F" w:rsidRDefault="00ED4004" w:rsidP="00ED4004">
      <w:pPr>
        <w:numPr>
          <w:ilvl w:val="0"/>
          <w:numId w:val="1"/>
        </w:numPr>
        <w:rPr>
          <w:rFonts w:asciiTheme="minorHAnsi" w:hAnsiTheme="minorHAnsi" w:cstheme="minorHAnsi"/>
        </w:rPr>
      </w:pPr>
      <w:r w:rsidRPr="0029603F">
        <w:rPr>
          <w:rFonts w:asciiTheme="minorHAnsi" w:hAnsiTheme="minorHAnsi" w:cstheme="minorHAnsi"/>
        </w:rPr>
        <w:t>Parental, sibling, and family visitation</w:t>
      </w:r>
    </w:p>
    <w:p w:rsidR="004E5E0E" w:rsidRDefault="004E5E0E" w:rsidP="00ED4004">
      <w:pPr>
        <w:rPr>
          <w:rFonts w:asciiTheme="minorHAnsi" w:hAnsiTheme="minorHAnsi" w:cstheme="minorHAnsi"/>
        </w:rPr>
      </w:pPr>
    </w:p>
    <w:p w:rsidR="00F61D63" w:rsidRDefault="00F61D63" w:rsidP="00ED4004">
      <w:pPr>
        <w:rPr>
          <w:rFonts w:asciiTheme="minorHAnsi" w:hAnsiTheme="minorHAnsi" w:cstheme="minorHAnsi"/>
        </w:rPr>
      </w:pPr>
    </w:p>
    <w:p w:rsidR="00F61D63" w:rsidRDefault="00F61D63" w:rsidP="00ED4004">
      <w:pPr>
        <w:rPr>
          <w:rFonts w:asciiTheme="minorHAnsi" w:hAnsiTheme="minorHAnsi" w:cstheme="minorHAnsi"/>
        </w:rPr>
      </w:pPr>
    </w:p>
    <w:p w:rsidR="00F61D63" w:rsidRPr="0029603F" w:rsidRDefault="00F61D63" w:rsidP="00ED4004">
      <w:pPr>
        <w:rPr>
          <w:rFonts w:asciiTheme="minorHAnsi" w:hAnsiTheme="minorHAnsi" w:cstheme="minorHAnsi"/>
        </w:rPr>
      </w:pPr>
    </w:p>
    <w:p w:rsidR="00F61D63" w:rsidRDefault="00F61D63" w:rsidP="00ED4004">
      <w:pPr>
        <w:rPr>
          <w:rFonts w:asciiTheme="minorHAnsi" w:hAnsiTheme="minorHAnsi" w:cstheme="minorHAnsi"/>
          <w:i/>
        </w:rPr>
      </w:pPr>
    </w:p>
    <w:p w:rsidR="00F61D63" w:rsidRDefault="00F61D63" w:rsidP="00ED4004">
      <w:pPr>
        <w:rPr>
          <w:rFonts w:asciiTheme="minorHAnsi" w:hAnsiTheme="minorHAnsi" w:cstheme="minorHAnsi"/>
          <w:i/>
        </w:rPr>
      </w:pPr>
    </w:p>
    <w:p w:rsidR="00ED4004" w:rsidRPr="0029603F" w:rsidRDefault="00ED4004" w:rsidP="00ED4004">
      <w:pPr>
        <w:rPr>
          <w:rFonts w:asciiTheme="minorHAnsi" w:hAnsiTheme="minorHAnsi" w:cstheme="minorHAnsi"/>
        </w:rPr>
      </w:pPr>
      <w:r w:rsidRPr="0029603F">
        <w:rPr>
          <w:rFonts w:asciiTheme="minorHAnsi" w:hAnsiTheme="minorHAnsi" w:cstheme="minorHAnsi"/>
          <w:i/>
        </w:rPr>
        <w:t>Keep in mind…</w:t>
      </w:r>
    </w:p>
    <w:p w:rsidR="00ED4004" w:rsidRPr="0029603F" w:rsidRDefault="00ED4004" w:rsidP="00ED4004">
      <w:pPr>
        <w:rPr>
          <w:rFonts w:asciiTheme="minorHAnsi" w:hAnsiTheme="minorHAnsi" w:cstheme="minorHAnsi"/>
        </w:rPr>
      </w:pPr>
      <w:r w:rsidRPr="0029603F">
        <w:rPr>
          <w:rFonts w:asciiTheme="minorHAnsi" w:hAnsiTheme="minorHAnsi" w:cstheme="minorHAnsi"/>
          <w:b/>
        </w:rPr>
        <w:t>E2SHB 1194</w:t>
      </w:r>
      <w:r w:rsidRPr="0029603F">
        <w:rPr>
          <w:rFonts w:asciiTheme="minorHAnsi" w:hAnsiTheme="minorHAnsi" w:cstheme="minorHAnsi"/>
        </w:rPr>
        <w:t xml:space="preserve"> (available </w:t>
      </w:r>
      <w:hyperlink r:id="rId8" w:history="1">
        <w:r w:rsidRPr="0029603F">
          <w:rPr>
            <w:rStyle w:val="Hyperlink"/>
            <w:rFonts w:asciiTheme="minorHAnsi" w:hAnsiTheme="minorHAnsi" w:cstheme="minorHAnsi"/>
          </w:rPr>
          <w:t>here</w:t>
        </w:r>
      </w:hyperlink>
      <w:r w:rsidRPr="0029603F">
        <w:rPr>
          <w:rFonts w:asciiTheme="minorHAnsi" w:hAnsiTheme="minorHAnsi" w:cstheme="minorHAnsi"/>
        </w:rPr>
        <w:t>), passed both chambers and awaits the Governor’s signature</w:t>
      </w:r>
    </w:p>
    <w:p w:rsidR="00ED4004" w:rsidRPr="0029603F" w:rsidRDefault="00ED4004" w:rsidP="00ED4004">
      <w:pPr>
        <w:rPr>
          <w:rFonts w:asciiTheme="minorHAnsi" w:hAnsiTheme="minorHAnsi" w:cstheme="minorHAnsi"/>
        </w:rPr>
      </w:pPr>
      <w:r w:rsidRPr="0029603F">
        <w:rPr>
          <w:rFonts w:asciiTheme="minorHAnsi" w:hAnsiTheme="minorHAnsi" w:cstheme="minorHAnsi"/>
        </w:rPr>
        <w:t>Among other things, this bill amends adds a presumption the 30-day shelter care hearing as follows:</w:t>
      </w:r>
    </w:p>
    <w:p w:rsidR="00ED4004" w:rsidRPr="0029603F" w:rsidRDefault="00ED4004" w:rsidP="00ED4004">
      <w:pPr>
        <w:rPr>
          <w:rFonts w:asciiTheme="minorHAnsi" w:hAnsiTheme="minorHAnsi" w:cstheme="minorHAnsi"/>
        </w:rPr>
      </w:pPr>
    </w:p>
    <w:p w:rsidR="00ED4004" w:rsidRPr="0029603F" w:rsidRDefault="00ED4004" w:rsidP="00ED4004">
      <w:pPr>
        <w:rPr>
          <w:rFonts w:asciiTheme="minorHAnsi" w:hAnsiTheme="minorHAnsi" w:cstheme="minorHAnsi"/>
        </w:rPr>
      </w:pPr>
      <w:r w:rsidRPr="0029603F">
        <w:rPr>
          <w:rFonts w:asciiTheme="minorHAnsi" w:hAnsiTheme="minorHAnsi" w:cstheme="minorHAnsi"/>
          <w:b/>
        </w:rPr>
        <w:t>Section 1, subsection (7)(a)(ii)</w:t>
      </w:r>
    </w:p>
    <w:p w:rsidR="00ED4004" w:rsidRPr="0029603F" w:rsidRDefault="00ED4004" w:rsidP="00ED4004">
      <w:pPr>
        <w:rPr>
          <w:rFonts w:asciiTheme="minorHAnsi" w:hAnsiTheme="minorHAnsi" w:cstheme="minorHAnsi"/>
        </w:rPr>
      </w:pPr>
      <w:r w:rsidRPr="0029603F">
        <w:rPr>
          <w:rFonts w:asciiTheme="minorHAnsi" w:hAnsiTheme="minorHAnsi" w:cstheme="minorHAnsi"/>
        </w:rPr>
        <w:t>“If the court previously ordered that visitation between a parent and child be supervised or monitored, there shall be a presumption that such supervision or monitoring will no longer be necessary following a continued shelter care order under (a)(i) of this subsection. To overcome this presumption, a party must provide a report to the court including evidence establishing that removing visit supervision or monitoring would create a risk to the child’s safety and the court shall make a determination as to whether visit supervision or monitoring must continue.”</w:t>
      </w:r>
    </w:p>
    <w:p w:rsidR="000963E3" w:rsidRDefault="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0963E3" w:rsidRPr="000963E3" w:rsidRDefault="000963E3" w:rsidP="000963E3">
      <w:pPr>
        <w:rPr>
          <w:rFonts w:asciiTheme="minorHAnsi" w:hAnsiTheme="minorHAnsi" w:cstheme="minorHAnsi"/>
        </w:rPr>
      </w:pPr>
    </w:p>
    <w:p w:rsidR="00ED4004" w:rsidRPr="000963E3" w:rsidRDefault="00ED4004" w:rsidP="000963E3">
      <w:pPr>
        <w:jc w:val="right"/>
        <w:rPr>
          <w:rFonts w:asciiTheme="minorHAnsi" w:hAnsiTheme="minorHAnsi" w:cstheme="minorHAnsi"/>
        </w:rPr>
      </w:pPr>
    </w:p>
    <w:sectPr w:rsidR="00ED4004" w:rsidRPr="000963E3" w:rsidSect="00ED4004">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03F" w:rsidRDefault="0029603F" w:rsidP="0029603F">
      <w:r>
        <w:separator/>
      </w:r>
    </w:p>
  </w:endnote>
  <w:endnote w:type="continuationSeparator" w:id="0">
    <w:p w:rsidR="0029603F" w:rsidRDefault="0029603F" w:rsidP="0029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E3" w:rsidRDefault="00096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037901"/>
      <w:docPartObj>
        <w:docPartGallery w:val="Page Numbers (Bottom of Page)"/>
        <w:docPartUnique/>
      </w:docPartObj>
    </w:sdtPr>
    <w:sdtEndPr>
      <w:rPr>
        <w:rFonts w:asciiTheme="minorHAnsi" w:hAnsiTheme="minorHAnsi" w:cstheme="minorHAnsi"/>
        <w:noProof/>
        <w:sz w:val="22"/>
        <w:szCs w:val="22"/>
      </w:rPr>
    </w:sdtEndPr>
    <w:sdtContent>
      <w:p w:rsidR="000963E3" w:rsidRPr="000963E3" w:rsidRDefault="000963E3">
        <w:pPr>
          <w:pStyle w:val="Footer"/>
          <w:jc w:val="right"/>
          <w:rPr>
            <w:rFonts w:asciiTheme="minorHAnsi" w:hAnsiTheme="minorHAnsi" w:cstheme="minorHAnsi"/>
            <w:sz w:val="22"/>
            <w:szCs w:val="22"/>
          </w:rPr>
        </w:pPr>
        <w:r w:rsidRPr="000963E3">
          <w:rPr>
            <w:rFonts w:asciiTheme="minorHAnsi" w:hAnsiTheme="minorHAnsi" w:cstheme="minorHAnsi"/>
            <w:sz w:val="22"/>
            <w:szCs w:val="22"/>
          </w:rPr>
          <w:fldChar w:fldCharType="begin"/>
        </w:r>
        <w:r w:rsidRPr="000963E3">
          <w:rPr>
            <w:rFonts w:asciiTheme="minorHAnsi" w:hAnsiTheme="minorHAnsi" w:cstheme="minorHAnsi"/>
            <w:sz w:val="22"/>
            <w:szCs w:val="22"/>
          </w:rPr>
          <w:instrText xml:space="preserve"> PAGE   \* MERGEFORMAT </w:instrText>
        </w:r>
        <w:r w:rsidRPr="000963E3">
          <w:rPr>
            <w:rFonts w:asciiTheme="minorHAnsi" w:hAnsiTheme="minorHAnsi" w:cstheme="minorHAnsi"/>
            <w:sz w:val="22"/>
            <w:szCs w:val="22"/>
          </w:rPr>
          <w:fldChar w:fldCharType="separate"/>
        </w:r>
        <w:r>
          <w:rPr>
            <w:rFonts w:asciiTheme="minorHAnsi" w:hAnsiTheme="minorHAnsi" w:cstheme="minorHAnsi"/>
            <w:noProof/>
            <w:sz w:val="22"/>
            <w:szCs w:val="22"/>
          </w:rPr>
          <w:t>1</w:t>
        </w:r>
        <w:r w:rsidRPr="000963E3">
          <w:rPr>
            <w:rFonts w:asciiTheme="minorHAnsi" w:hAnsiTheme="minorHAnsi" w:cstheme="minorHAnsi"/>
            <w:noProof/>
            <w:sz w:val="22"/>
            <w:szCs w:val="22"/>
          </w:rPr>
          <w:fldChar w:fldCharType="end"/>
        </w:r>
      </w:p>
    </w:sdtContent>
  </w:sdt>
  <w:p w:rsidR="000963E3" w:rsidRPr="000963E3" w:rsidRDefault="000963E3">
    <w:pPr>
      <w:pStyle w:val="Footer"/>
      <w:rPr>
        <w:rFonts w:asciiTheme="minorHAnsi" w:hAnsiTheme="minorHAnsi" w:cstheme="minorHAnsi"/>
        <w:i/>
        <w:sz w:val="22"/>
        <w:szCs w:val="22"/>
      </w:rPr>
    </w:pPr>
    <w:bookmarkStart w:id="0" w:name="_GoBack"/>
    <w:r w:rsidRPr="000963E3">
      <w:rPr>
        <w:rFonts w:asciiTheme="minorHAnsi" w:hAnsiTheme="minorHAnsi" w:cstheme="minorHAnsi"/>
        <w:i/>
        <w:sz w:val="22"/>
        <w:szCs w:val="22"/>
      </w:rPr>
      <w:t>SCJA Spring Conference 2021</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E3" w:rsidRDefault="00096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03F" w:rsidRDefault="0029603F" w:rsidP="0029603F">
      <w:r>
        <w:separator/>
      </w:r>
    </w:p>
  </w:footnote>
  <w:footnote w:type="continuationSeparator" w:id="0">
    <w:p w:rsidR="0029603F" w:rsidRDefault="0029603F" w:rsidP="00296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E3" w:rsidRDefault="00096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3F" w:rsidRPr="000963E3" w:rsidRDefault="0029603F" w:rsidP="0029603F">
    <w:pPr>
      <w:pStyle w:val="Header"/>
      <w:jc w:val="center"/>
      <w:rPr>
        <w:rFonts w:asciiTheme="minorHAnsi" w:hAnsiTheme="minorHAnsi" w:cstheme="minorHAnsi"/>
        <w:b/>
      </w:rPr>
    </w:pPr>
    <w:r w:rsidRPr="000963E3">
      <w:rPr>
        <w:rFonts w:asciiTheme="minorHAnsi" w:hAnsiTheme="minorHAnsi" w:cstheme="minorHAnsi"/>
        <w:b/>
      </w:rPr>
      <w:t>30 Day Shelter Care Hearing Legal Issues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E3" w:rsidRDefault="00096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F29"/>
    <w:multiLevelType w:val="hybridMultilevel"/>
    <w:tmpl w:val="B792CA30"/>
    <w:lvl w:ilvl="0" w:tplc="0886484E">
      <w:start w:val="1"/>
      <w:numFmt w:val="bullet"/>
      <w:lvlText w:val="•"/>
      <w:lvlJc w:val="left"/>
      <w:pPr>
        <w:tabs>
          <w:tab w:val="num" w:pos="720"/>
        </w:tabs>
        <w:ind w:left="720" w:hanging="360"/>
      </w:pPr>
      <w:rPr>
        <w:rFonts w:ascii="Arial" w:hAnsi="Arial" w:hint="default"/>
      </w:rPr>
    </w:lvl>
    <w:lvl w:ilvl="1" w:tplc="40A42F60">
      <w:start w:val="1"/>
      <w:numFmt w:val="bullet"/>
      <w:lvlText w:val="•"/>
      <w:lvlJc w:val="left"/>
      <w:pPr>
        <w:tabs>
          <w:tab w:val="num" w:pos="1440"/>
        </w:tabs>
        <w:ind w:left="1440" w:hanging="360"/>
      </w:pPr>
      <w:rPr>
        <w:rFonts w:ascii="Arial" w:hAnsi="Arial" w:hint="default"/>
      </w:rPr>
    </w:lvl>
    <w:lvl w:ilvl="2" w:tplc="E6F6001A" w:tentative="1">
      <w:start w:val="1"/>
      <w:numFmt w:val="bullet"/>
      <w:lvlText w:val="•"/>
      <w:lvlJc w:val="left"/>
      <w:pPr>
        <w:tabs>
          <w:tab w:val="num" w:pos="2160"/>
        </w:tabs>
        <w:ind w:left="2160" w:hanging="360"/>
      </w:pPr>
      <w:rPr>
        <w:rFonts w:ascii="Arial" w:hAnsi="Arial" w:hint="default"/>
      </w:rPr>
    </w:lvl>
    <w:lvl w:ilvl="3" w:tplc="2C60D85E" w:tentative="1">
      <w:start w:val="1"/>
      <w:numFmt w:val="bullet"/>
      <w:lvlText w:val="•"/>
      <w:lvlJc w:val="left"/>
      <w:pPr>
        <w:tabs>
          <w:tab w:val="num" w:pos="2880"/>
        </w:tabs>
        <w:ind w:left="2880" w:hanging="360"/>
      </w:pPr>
      <w:rPr>
        <w:rFonts w:ascii="Arial" w:hAnsi="Arial" w:hint="default"/>
      </w:rPr>
    </w:lvl>
    <w:lvl w:ilvl="4" w:tplc="4E8E3326" w:tentative="1">
      <w:start w:val="1"/>
      <w:numFmt w:val="bullet"/>
      <w:lvlText w:val="•"/>
      <w:lvlJc w:val="left"/>
      <w:pPr>
        <w:tabs>
          <w:tab w:val="num" w:pos="3600"/>
        </w:tabs>
        <w:ind w:left="3600" w:hanging="360"/>
      </w:pPr>
      <w:rPr>
        <w:rFonts w:ascii="Arial" w:hAnsi="Arial" w:hint="default"/>
      </w:rPr>
    </w:lvl>
    <w:lvl w:ilvl="5" w:tplc="8CCAA47C" w:tentative="1">
      <w:start w:val="1"/>
      <w:numFmt w:val="bullet"/>
      <w:lvlText w:val="•"/>
      <w:lvlJc w:val="left"/>
      <w:pPr>
        <w:tabs>
          <w:tab w:val="num" w:pos="4320"/>
        </w:tabs>
        <w:ind w:left="4320" w:hanging="360"/>
      </w:pPr>
      <w:rPr>
        <w:rFonts w:ascii="Arial" w:hAnsi="Arial" w:hint="default"/>
      </w:rPr>
    </w:lvl>
    <w:lvl w:ilvl="6" w:tplc="D7DCA7F4" w:tentative="1">
      <w:start w:val="1"/>
      <w:numFmt w:val="bullet"/>
      <w:lvlText w:val="•"/>
      <w:lvlJc w:val="left"/>
      <w:pPr>
        <w:tabs>
          <w:tab w:val="num" w:pos="5040"/>
        </w:tabs>
        <w:ind w:left="5040" w:hanging="360"/>
      </w:pPr>
      <w:rPr>
        <w:rFonts w:ascii="Arial" w:hAnsi="Arial" w:hint="default"/>
      </w:rPr>
    </w:lvl>
    <w:lvl w:ilvl="7" w:tplc="E4B699B0" w:tentative="1">
      <w:start w:val="1"/>
      <w:numFmt w:val="bullet"/>
      <w:lvlText w:val="•"/>
      <w:lvlJc w:val="left"/>
      <w:pPr>
        <w:tabs>
          <w:tab w:val="num" w:pos="5760"/>
        </w:tabs>
        <w:ind w:left="5760" w:hanging="360"/>
      </w:pPr>
      <w:rPr>
        <w:rFonts w:ascii="Arial" w:hAnsi="Arial" w:hint="default"/>
      </w:rPr>
    </w:lvl>
    <w:lvl w:ilvl="8" w:tplc="88187A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A21372"/>
    <w:multiLevelType w:val="hybridMultilevel"/>
    <w:tmpl w:val="72721EB6"/>
    <w:lvl w:ilvl="0" w:tplc="8458B59A">
      <w:start w:val="1"/>
      <w:numFmt w:val="bullet"/>
      <w:lvlText w:val="•"/>
      <w:lvlJc w:val="left"/>
      <w:pPr>
        <w:tabs>
          <w:tab w:val="num" w:pos="720"/>
        </w:tabs>
        <w:ind w:left="720" w:hanging="360"/>
      </w:pPr>
      <w:rPr>
        <w:rFonts w:ascii="Arial" w:hAnsi="Arial" w:hint="default"/>
      </w:rPr>
    </w:lvl>
    <w:lvl w:ilvl="1" w:tplc="76ECC262">
      <w:start w:val="1"/>
      <w:numFmt w:val="bullet"/>
      <w:lvlText w:val="•"/>
      <w:lvlJc w:val="left"/>
      <w:pPr>
        <w:tabs>
          <w:tab w:val="num" w:pos="1440"/>
        </w:tabs>
        <w:ind w:left="1440" w:hanging="360"/>
      </w:pPr>
      <w:rPr>
        <w:rFonts w:ascii="Arial" w:hAnsi="Arial" w:hint="default"/>
      </w:rPr>
    </w:lvl>
    <w:lvl w:ilvl="2" w:tplc="ACFE214E" w:tentative="1">
      <w:start w:val="1"/>
      <w:numFmt w:val="bullet"/>
      <w:lvlText w:val="•"/>
      <w:lvlJc w:val="left"/>
      <w:pPr>
        <w:tabs>
          <w:tab w:val="num" w:pos="2160"/>
        </w:tabs>
        <w:ind w:left="2160" w:hanging="360"/>
      </w:pPr>
      <w:rPr>
        <w:rFonts w:ascii="Arial" w:hAnsi="Arial" w:hint="default"/>
      </w:rPr>
    </w:lvl>
    <w:lvl w:ilvl="3" w:tplc="19927518" w:tentative="1">
      <w:start w:val="1"/>
      <w:numFmt w:val="bullet"/>
      <w:lvlText w:val="•"/>
      <w:lvlJc w:val="left"/>
      <w:pPr>
        <w:tabs>
          <w:tab w:val="num" w:pos="2880"/>
        </w:tabs>
        <w:ind w:left="2880" w:hanging="360"/>
      </w:pPr>
      <w:rPr>
        <w:rFonts w:ascii="Arial" w:hAnsi="Arial" w:hint="default"/>
      </w:rPr>
    </w:lvl>
    <w:lvl w:ilvl="4" w:tplc="8D347480" w:tentative="1">
      <w:start w:val="1"/>
      <w:numFmt w:val="bullet"/>
      <w:lvlText w:val="•"/>
      <w:lvlJc w:val="left"/>
      <w:pPr>
        <w:tabs>
          <w:tab w:val="num" w:pos="3600"/>
        </w:tabs>
        <w:ind w:left="3600" w:hanging="360"/>
      </w:pPr>
      <w:rPr>
        <w:rFonts w:ascii="Arial" w:hAnsi="Arial" w:hint="default"/>
      </w:rPr>
    </w:lvl>
    <w:lvl w:ilvl="5" w:tplc="E0EEA222" w:tentative="1">
      <w:start w:val="1"/>
      <w:numFmt w:val="bullet"/>
      <w:lvlText w:val="•"/>
      <w:lvlJc w:val="left"/>
      <w:pPr>
        <w:tabs>
          <w:tab w:val="num" w:pos="4320"/>
        </w:tabs>
        <w:ind w:left="4320" w:hanging="360"/>
      </w:pPr>
      <w:rPr>
        <w:rFonts w:ascii="Arial" w:hAnsi="Arial" w:hint="default"/>
      </w:rPr>
    </w:lvl>
    <w:lvl w:ilvl="6" w:tplc="7A2448D4" w:tentative="1">
      <w:start w:val="1"/>
      <w:numFmt w:val="bullet"/>
      <w:lvlText w:val="•"/>
      <w:lvlJc w:val="left"/>
      <w:pPr>
        <w:tabs>
          <w:tab w:val="num" w:pos="5040"/>
        </w:tabs>
        <w:ind w:left="5040" w:hanging="360"/>
      </w:pPr>
      <w:rPr>
        <w:rFonts w:ascii="Arial" w:hAnsi="Arial" w:hint="default"/>
      </w:rPr>
    </w:lvl>
    <w:lvl w:ilvl="7" w:tplc="7336774C" w:tentative="1">
      <w:start w:val="1"/>
      <w:numFmt w:val="bullet"/>
      <w:lvlText w:val="•"/>
      <w:lvlJc w:val="left"/>
      <w:pPr>
        <w:tabs>
          <w:tab w:val="num" w:pos="5760"/>
        </w:tabs>
        <w:ind w:left="5760" w:hanging="360"/>
      </w:pPr>
      <w:rPr>
        <w:rFonts w:ascii="Arial" w:hAnsi="Arial" w:hint="default"/>
      </w:rPr>
    </w:lvl>
    <w:lvl w:ilvl="8" w:tplc="0D944A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75551D"/>
    <w:multiLevelType w:val="hybridMultilevel"/>
    <w:tmpl w:val="09B48400"/>
    <w:lvl w:ilvl="0" w:tplc="5958FA4E">
      <w:start w:val="1"/>
      <w:numFmt w:val="bullet"/>
      <w:lvlText w:val="•"/>
      <w:lvlJc w:val="left"/>
      <w:pPr>
        <w:tabs>
          <w:tab w:val="num" w:pos="720"/>
        </w:tabs>
        <w:ind w:left="720" w:hanging="360"/>
      </w:pPr>
      <w:rPr>
        <w:rFonts w:ascii="Arial" w:hAnsi="Arial" w:hint="default"/>
      </w:rPr>
    </w:lvl>
    <w:lvl w:ilvl="1" w:tplc="32ECF964">
      <w:start w:val="1"/>
      <w:numFmt w:val="bullet"/>
      <w:lvlText w:val="•"/>
      <w:lvlJc w:val="left"/>
      <w:pPr>
        <w:tabs>
          <w:tab w:val="num" w:pos="1440"/>
        </w:tabs>
        <w:ind w:left="1440" w:hanging="360"/>
      </w:pPr>
      <w:rPr>
        <w:rFonts w:ascii="Arial" w:hAnsi="Arial" w:hint="default"/>
      </w:rPr>
    </w:lvl>
    <w:lvl w:ilvl="2" w:tplc="1070076E" w:tentative="1">
      <w:start w:val="1"/>
      <w:numFmt w:val="bullet"/>
      <w:lvlText w:val="•"/>
      <w:lvlJc w:val="left"/>
      <w:pPr>
        <w:tabs>
          <w:tab w:val="num" w:pos="2160"/>
        </w:tabs>
        <w:ind w:left="2160" w:hanging="360"/>
      </w:pPr>
      <w:rPr>
        <w:rFonts w:ascii="Arial" w:hAnsi="Arial" w:hint="default"/>
      </w:rPr>
    </w:lvl>
    <w:lvl w:ilvl="3" w:tplc="6BE806E0" w:tentative="1">
      <w:start w:val="1"/>
      <w:numFmt w:val="bullet"/>
      <w:lvlText w:val="•"/>
      <w:lvlJc w:val="left"/>
      <w:pPr>
        <w:tabs>
          <w:tab w:val="num" w:pos="2880"/>
        </w:tabs>
        <w:ind w:left="2880" w:hanging="360"/>
      </w:pPr>
      <w:rPr>
        <w:rFonts w:ascii="Arial" w:hAnsi="Arial" w:hint="default"/>
      </w:rPr>
    </w:lvl>
    <w:lvl w:ilvl="4" w:tplc="27147590" w:tentative="1">
      <w:start w:val="1"/>
      <w:numFmt w:val="bullet"/>
      <w:lvlText w:val="•"/>
      <w:lvlJc w:val="left"/>
      <w:pPr>
        <w:tabs>
          <w:tab w:val="num" w:pos="3600"/>
        </w:tabs>
        <w:ind w:left="3600" w:hanging="360"/>
      </w:pPr>
      <w:rPr>
        <w:rFonts w:ascii="Arial" w:hAnsi="Arial" w:hint="default"/>
      </w:rPr>
    </w:lvl>
    <w:lvl w:ilvl="5" w:tplc="7E90D09C" w:tentative="1">
      <w:start w:val="1"/>
      <w:numFmt w:val="bullet"/>
      <w:lvlText w:val="•"/>
      <w:lvlJc w:val="left"/>
      <w:pPr>
        <w:tabs>
          <w:tab w:val="num" w:pos="4320"/>
        </w:tabs>
        <w:ind w:left="4320" w:hanging="360"/>
      </w:pPr>
      <w:rPr>
        <w:rFonts w:ascii="Arial" w:hAnsi="Arial" w:hint="default"/>
      </w:rPr>
    </w:lvl>
    <w:lvl w:ilvl="6" w:tplc="A95EF7F0" w:tentative="1">
      <w:start w:val="1"/>
      <w:numFmt w:val="bullet"/>
      <w:lvlText w:val="•"/>
      <w:lvlJc w:val="left"/>
      <w:pPr>
        <w:tabs>
          <w:tab w:val="num" w:pos="5040"/>
        </w:tabs>
        <w:ind w:left="5040" w:hanging="360"/>
      </w:pPr>
      <w:rPr>
        <w:rFonts w:ascii="Arial" w:hAnsi="Arial" w:hint="default"/>
      </w:rPr>
    </w:lvl>
    <w:lvl w:ilvl="7" w:tplc="67A209E8" w:tentative="1">
      <w:start w:val="1"/>
      <w:numFmt w:val="bullet"/>
      <w:lvlText w:val="•"/>
      <w:lvlJc w:val="left"/>
      <w:pPr>
        <w:tabs>
          <w:tab w:val="num" w:pos="5760"/>
        </w:tabs>
        <w:ind w:left="5760" w:hanging="360"/>
      </w:pPr>
      <w:rPr>
        <w:rFonts w:ascii="Arial" w:hAnsi="Arial" w:hint="default"/>
      </w:rPr>
    </w:lvl>
    <w:lvl w:ilvl="8" w:tplc="52A293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D57C7B"/>
    <w:multiLevelType w:val="hybridMultilevel"/>
    <w:tmpl w:val="90EC1220"/>
    <w:lvl w:ilvl="0" w:tplc="D2720890">
      <w:start w:val="1"/>
      <w:numFmt w:val="bullet"/>
      <w:lvlText w:val="•"/>
      <w:lvlJc w:val="left"/>
      <w:pPr>
        <w:tabs>
          <w:tab w:val="num" w:pos="720"/>
        </w:tabs>
        <w:ind w:left="720" w:hanging="360"/>
      </w:pPr>
      <w:rPr>
        <w:rFonts w:ascii="Arial" w:hAnsi="Arial" w:hint="default"/>
      </w:rPr>
    </w:lvl>
    <w:lvl w:ilvl="1" w:tplc="FA88EE7C">
      <w:start w:val="1"/>
      <w:numFmt w:val="bullet"/>
      <w:lvlText w:val="•"/>
      <w:lvlJc w:val="left"/>
      <w:pPr>
        <w:tabs>
          <w:tab w:val="num" w:pos="1440"/>
        </w:tabs>
        <w:ind w:left="1440" w:hanging="360"/>
      </w:pPr>
      <w:rPr>
        <w:rFonts w:ascii="Arial" w:hAnsi="Arial" w:hint="default"/>
      </w:rPr>
    </w:lvl>
    <w:lvl w:ilvl="2" w:tplc="A774C178" w:tentative="1">
      <w:start w:val="1"/>
      <w:numFmt w:val="bullet"/>
      <w:lvlText w:val="•"/>
      <w:lvlJc w:val="left"/>
      <w:pPr>
        <w:tabs>
          <w:tab w:val="num" w:pos="2160"/>
        </w:tabs>
        <w:ind w:left="2160" w:hanging="360"/>
      </w:pPr>
      <w:rPr>
        <w:rFonts w:ascii="Arial" w:hAnsi="Arial" w:hint="default"/>
      </w:rPr>
    </w:lvl>
    <w:lvl w:ilvl="3" w:tplc="910CE638" w:tentative="1">
      <w:start w:val="1"/>
      <w:numFmt w:val="bullet"/>
      <w:lvlText w:val="•"/>
      <w:lvlJc w:val="left"/>
      <w:pPr>
        <w:tabs>
          <w:tab w:val="num" w:pos="2880"/>
        </w:tabs>
        <w:ind w:left="2880" w:hanging="360"/>
      </w:pPr>
      <w:rPr>
        <w:rFonts w:ascii="Arial" w:hAnsi="Arial" w:hint="default"/>
      </w:rPr>
    </w:lvl>
    <w:lvl w:ilvl="4" w:tplc="A5509B46" w:tentative="1">
      <w:start w:val="1"/>
      <w:numFmt w:val="bullet"/>
      <w:lvlText w:val="•"/>
      <w:lvlJc w:val="left"/>
      <w:pPr>
        <w:tabs>
          <w:tab w:val="num" w:pos="3600"/>
        </w:tabs>
        <w:ind w:left="3600" w:hanging="360"/>
      </w:pPr>
      <w:rPr>
        <w:rFonts w:ascii="Arial" w:hAnsi="Arial" w:hint="default"/>
      </w:rPr>
    </w:lvl>
    <w:lvl w:ilvl="5" w:tplc="6086757C" w:tentative="1">
      <w:start w:val="1"/>
      <w:numFmt w:val="bullet"/>
      <w:lvlText w:val="•"/>
      <w:lvlJc w:val="left"/>
      <w:pPr>
        <w:tabs>
          <w:tab w:val="num" w:pos="4320"/>
        </w:tabs>
        <w:ind w:left="4320" w:hanging="360"/>
      </w:pPr>
      <w:rPr>
        <w:rFonts w:ascii="Arial" w:hAnsi="Arial" w:hint="default"/>
      </w:rPr>
    </w:lvl>
    <w:lvl w:ilvl="6" w:tplc="A11EA3DA" w:tentative="1">
      <w:start w:val="1"/>
      <w:numFmt w:val="bullet"/>
      <w:lvlText w:val="•"/>
      <w:lvlJc w:val="left"/>
      <w:pPr>
        <w:tabs>
          <w:tab w:val="num" w:pos="5040"/>
        </w:tabs>
        <w:ind w:left="5040" w:hanging="360"/>
      </w:pPr>
      <w:rPr>
        <w:rFonts w:ascii="Arial" w:hAnsi="Arial" w:hint="default"/>
      </w:rPr>
    </w:lvl>
    <w:lvl w:ilvl="7" w:tplc="8B7EC444" w:tentative="1">
      <w:start w:val="1"/>
      <w:numFmt w:val="bullet"/>
      <w:lvlText w:val="•"/>
      <w:lvlJc w:val="left"/>
      <w:pPr>
        <w:tabs>
          <w:tab w:val="num" w:pos="5760"/>
        </w:tabs>
        <w:ind w:left="5760" w:hanging="360"/>
      </w:pPr>
      <w:rPr>
        <w:rFonts w:ascii="Arial" w:hAnsi="Arial" w:hint="default"/>
      </w:rPr>
    </w:lvl>
    <w:lvl w:ilvl="8" w:tplc="E10E6C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6D1260"/>
    <w:multiLevelType w:val="hybridMultilevel"/>
    <w:tmpl w:val="34423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EE"/>
    <w:rsid w:val="000963E3"/>
    <w:rsid w:val="0029603F"/>
    <w:rsid w:val="00491B7D"/>
    <w:rsid w:val="004E5E0E"/>
    <w:rsid w:val="005651FA"/>
    <w:rsid w:val="0061030E"/>
    <w:rsid w:val="007C34EE"/>
    <w:rsid w:val="00E25F4A"/>
    <w:rsid w:val="00ED4004"/>
    <w:rsid w:val="00F6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B2411-E806-4FAE-BD51-F6DB8B37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E5E0E"/>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5E0E"/>
    <w:rPr>
      <w:rFonts w:eastAsia="Times New Roman"/>
      <w:b/>
      <w:bCs/>
      <w:sz w:val="27"/>
      <w:szCs w:val="27"/>
    </w:rPr>
  </w:style>
  <w:style w:type="character" w:styleId="Hyperlink">
    <w:name w:val="Hyperlink"/>
    <w:basedOn w:val="DefaultParagraphFont"/>
    <w:uiPriority w:val="99"/>
    <w:unhideWhenUsed/>
    <w:rsid w:val="004E5E0E"/>
    <w:rPr>
      <w:color w:val="0000FF"/>
      <w:u w:val="single"/>
    </w:rPr>
  </w:style>
  <w:style w:type="paragraph" w:styleId="ListParagraph">
    <w:name w:val="List Paragraph"/>
    <w:basedOn w:val="Normal"/>
    <w:uiPriority w:val="34"/>
    <w:qFormat/>
    <w:rsid w:val="00ED4004"/>
    <w:pPr>
      <w:ind w:left="720"/>
      <w:contextualSpacing/>
    </w:pPr>
  </w:style>
  <w:style w:type="paragraph" w:styleId="Header">
    <w:name w:val="header"/>
    <w:basedOn w:val="Normal"/>
    <w:link w:val="HeaderChar"/>
    <w:uiPriority w:val="99"/>
    <w:unhideWhenUsed/>
    <w:rsid w:val="0029603F"/>
    <w:pPr>
      <w:tabs>
        <w:tab w:val="center" w:pos="4680"/>
        <w:tab w:val="right" w:pos="9360"/>
      </w:tabs>
    </w:pPr>
  </w:style>
  <w:style w:type="character" w:customStyle="1" w:styleId="HeaderChar">
    <w:name w:val="Header Char"/>
    <w:basedOn w:val="DefaultParagraphFont"/>
    <w:link w:val="Header"/>
    <w:uiPriority w:val="99"/>
    <w:rsid w:val="0029603F"/>
  </w:style>
  <w:style w:type="paragraph" w:styleId="Footer">
    <w:name w:val="footer"/>
    <w:basedOn w:val="Normal"/>
    <w:link w:val="FooterChar"/>
    <w:uiPriority w:val="99"/>
    <w:unhideWhenUsed/>
    <w:rsid w:val="0029603F"/>
    <w:pPr>
      <w:tabs>
        <w:tab w:val="center" w:pos="4680"/>
        <w:tab w:val="right" w:pos="9360"/>
      </w:tabs>
    </w:pPr>
  </w:style>
  <w:style w:type="character" w:customStyle="1" w:styleId="FooterChar">
    <w:name w:val="Footer Char"/>
    <w:basedOn w:val="DefaultParagraphFont"/>
    <w:link w:val="Footer"/>
    <w:uiPriority w:val="99"/>
    <w:rsid w:val="0029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1264">
      <w:bodyDiv w:val="1"/>
      <w:marLeft w:val="0"/>
      <w:marRight w:val="0"/>
      <w:marTop w:val="0"/>
      <w:marBottom w:val="0"/>
      <w:divBdr>
        <w:top w:val="none" w:sz="0" w:space="0" w:color="auto"/>
        <w:left w:val="none" w:sz="0" w:space="0" w:color="auto"/>
        <w:bottom w:val="none" w:sz="0" w:space="0" w:color="auto"/>
        <w:right w:val="none" w:sz="0" w:space="0" w:color="auto"/>
      </w:divBdr>
      <w:divsChild>
        <w:div w:id="780493972">
          <w:marLeft w:val="1080"/>
          <w:marRight w:val="0"/>
          <w:marTop w:val="100"/>
          <w:marBottom w:val="0"/>
          <w:divBdr>
            <w:top w:val="none" w:sz="0" w:space="0" w:color="auto"/>
            <w:left w:val="none" w:sz="0" w:space="0" w:color="auto"/>
            <w:bottom w:val="none" w:sz="0" w:space="0" w:color="auto"/>
            <w:right w:val="none" w:sz="0" w:space="0" w:color="auto"/>
          </w:divBdr>
        </w:div>
        <w:div w:id="1503819164">
          <w:marLeft w:val="1080"/>
          <w:marRight w:val="0"/>
          <w:marTop w:val="100"/>
          <w:marBottom w:val="0"/>
          <w:divBdr>
            <w:top w:val="none" w:sz="0" w:space="0" w:color="auto"/>
            <w:left w:val="none" w:sz="0" w:space="0" w:color="auto"/>
            <w:bottom w:val="none" w:sz="0" w:space="0" w:color="auto"/>
            <w:right w:val="none" w:sz="0" w:space="0" w:color="auto"/>
          </w:divBdr>
        </w:div>
      </w:divsChild>
    </w:div>
    <w:div w:id="136068530">
      <w:bodyDiv w:val="1"/>
      <w:marLeft w:val="0"/>
      <w:marRight w:val="0"/>
      <w:marTop w:val="0"/>
      <w:marBottom w:val="0"/>
      <w:divBdr>
        <w:top w:val="none" w:sz="0" w:space="0" w:color="auto"/>
        <w:left w:val="none" w:sz="0" w:space="0" w:color="auto"/>
        <w:bottom w:val="none" w:sz="0" w:space="0" w:color="auto"/>
        <w:right w:val="none" w:sz="0" w:space="0" w:color="auto"/>
      </w:divBdr>
      <w:divsChild>
        <w:div w:id="843738704">
          <w:marLeft w:val="1080"/>
          <w:marRight w:val="0"/>
          <w:marTop w:val="100"/>
          <w:marBottom w:val="0"/>
          <w:divBdr>
            <w:top w:val="none" w:sz="0" w:space="0" w:color="auto"/>
            <w:left w:val="none" w:sz="0" w:space="0" w:color="auto"/>
            <w:bottom w:val="none" w:sz="0" w:space="0" w:color="auto"/>
            <w:right w:val="none" w:sz="0" w:space="0" w:color="auto"/>
          </w:divBdr>
        </w:div>
        <w:div w:id="148182789">
          <w:marLeft w:val="1080"/>
          <w:marRight w:val="0"/>
          <w:marTop w:val="100"/>
          <w:marBottom w:val="0"/>
          <w:divBdr>
            <w:top w:val="none" w:sz="0" w:space="0" w:color="auto"/>
            <w:left w:val="none" w:sz="0" w:space="0" w:color="auto"/>
            <w:bottom w:val="none" w:sz="0" w:space="0" w:color="auto"/>
            <w:right w:val="none" w:sz="0" w:space="0" w:color="auto"/>
          </w:divBdr>
        </w:div>
        <w:div w:id="209457556">
          <w:marLeft w:val="1080"/>
          <w:marRight w:val="0"/>
          <w:marTop w:val="100"/>
          <w:marBottom w:val="0"/>
          <w:divBdr>
            <w:top w:val="none" w:sz="0" w:space="0" w:color="auto"/>
            <w:left w:val="none" w:sz="0" w:space="0" w:color="auto"/>
            <w:bottom w:val="none" w:sz="0" w:space="0" w:color="auto"/>
            <w:right w:val="none" w:sz="0" w:space="0" w:color="auto"/>
          </w:divBdr>
        </w:div>
        <w:div w:id="1157920613">
          <w:marLeft w:val="1080"/>
          <w:marRight w:val="0"/>
          <w:marTop w:val="100"/>
          <w:marBottom w:val="0"/>
          <w:divBdr>
            <w:top w:val="none" w:sz="0" w:space="0" w:color="auto"/>
            <w:left w:val="none" w:sz="0" w:space="0" w:color="auto"/>
            <w:bottom w:val="none" w:sz="0" w:space="0" w:color="auto"/>
            <w:right w:val="none" w:sz="0" w:space="0" w:color="auto"/>
          </w:divBdr>
        </w:div>
        <w:div w:id="1338387813">
          <w:marLeft w:val="1080"/>
          <w:marRight w:val="0"/>
          <w:marTop w:val="100"/>
          <w:marBottom w:val="0"/>
          <w:divBdr>
            <w:top w:val="none" w:sz="0" w:space="0" w:color="auto"/>
            <w:left w:val="none" w:sz="0" w:space="0" w:color="auto"/>
            <w:bottom w:val="none" w:sz="0" w:space="0" w:color="auto"/>
            <w:right w:val="none" w:sz="0" w:space="0" w:color="auto"/>
          </w:divBdr>
        </w:div>
      </w:divsChild>
    </w:div>
    <w:div w:id="148787265">
      <w:bodyDiv w:val="1"/>
      <w:marLeft w:val="0"/>
      <w:marRight w:val="0"/>
      <w:marTop w:val="0"/>
      <w:marBottom w:val="0"/>
      <w:divBdr>
        <w:top w:val="none" w:sz="0" w:space="0" w:color="auto"/>
        <w:left w:val="none" w:sz="0" w:space="0" w:color="auto"/>
        <w:bottom w:val="none" w:sz="0" w:space="0" w:color="auto"/>
        <w:right w:val="none" w:sz="0" w:space="0" w:color="auto"/>
      </w:divBdr>
      <w:divsChild>
        <w:div w:id="1358658188">
          <w:marLeft w:val="1080"/>
          <w:marRight w:val="0"/>
          <w:marTop w:val="100"/>
          <w:marBottom w:val="0"/>
          <w:divBdr>
            <w:top w:val="none" w:sz="0" w:space="0" w:color="auto"/>
            <w:left w:val="none" w:sz="0" w:space="0" w:color="auto"/>
            <w:bottom w:val="none" w:sz="0" w:space="0" w:color="auto"/>
            <w:right w:val="none" w:sz="0" w:space="0" w:color="auto"/>
          </w:divBdr>
        </w:div>
        <w:div w:id="332149139">
          <w:marLeft w:val="1080"/>
          <w:marRight w:val="0"/>
          <w:marTop w:val="100"/>
          <w:marBottom w:val="0"/>
          <w:divBdr>
            <w:top w:val="none" w:sz="0" w:space="0" w:color="auto"/>
            <w:left w:val="none" w:sz="0" w:space="0" w:color="auto"/>
            <w:bottom w:val="none" w:sz="0" w:space="0" w:color="auto"/>
            <w:right w:val="none" w:sz="0" w:space="0" w:color="auto"/>
          </w:divBdr>
        </w:div>
        <w:div w:id="1124470932">
          <w:marLeft w:val="1080"/>
          <w:marRight w:val="0"/>
          <w:marTop w:val="100"/>
          <w:marBottom w:val="0"/>
          <w:divBdr>
            <w:top w:val="none" w:sz="0" w:space="0" w:color="auto"/>
            <w:left w:val="none" w:sz="0" w:space="0" w:color="auto"/>
            <w:bottom w:val="none" w:sz="0" w:space="0" w:color="auto"/>
            <w:right w:val="none" w:sz="0" w:space="0" w:color="auto"/>
          </w:divBdr>
        </w:div>
      </w:divsChild>
    </w:div>
    <w:div w:id="186722008">
      <w:bodyDiv w:val="1"/>
      <w:marLeft w:val="0"/>
      <w:marRight w:val="0"/>
      <w:marTop w:val="0"/>
      <w:marBottom w:val="0"/>
      <w:divBdr>
        <w:top w:val="none" w:sz="0" w:space="0" w:color="auto"/>
        <w:left w:val="none" w:sz="0" w:space="0" w:color="auto"/>
        <w:bottom w:val="none" w:sz="0" w:space="0" w:color="auto"/>
        <w:right w:val="none" w:sz="0" w:space="0" w:color="auto"/>
      </w:divBdr>
      <w:divsChild>
        <w:div w:id="1893418336">
          <w:marLeft w:val="0"/>
          <w:marRight w:val="0"/>
          <w:marTop w:val="0"/>
          <w:marBottom w:val="0"/>
          <w:divBdr>
            <w:top w:val="none" w:sz="0" w:space="0" w:color="auto"/>
            <w:left w:val="none" w:sz="0" w:space="0" w:color="auto"/>
            <w:bottom w:val="none" w:sz="0" w:space="0" w:color="auto"/>
            <w:right w:val="none" w:sz="0" w:space="0" w:color="auto"/>
          </w:divBdr>
        </w:div>
        <w:div w:id="2118713727">
          <w:marLeft w:val="0"/>
          <w:marRight w:val="0"/>
          <w:marTop w:val="0"/>
          <w:marBottom w:val="0"/>
          <w:divBdr>
            <w:top w:val="none" w:sz="0" w:space="0" w:color="auto"/>
            <w:left w:val="none" w:sz="0" w:space="0" w:color="auto"/>
            <w:bottom w:val="none" w:sz="0" w:space="0" w:color="auto"/>
            <w:right w:val="none" w:sz="0" w:space="0" w:color="auto"/>
          </w:divBdr>
        </w:div>
        <w:div w:id="1991978534">
          <w:marLeft w:val="0"/>
          <w:marRight w:val="0"/>
          <w:marTop w:val="0"/>
          <w:marBottom w:val="0"/>
          <w:divBdr>
            <w:top w:val="none" w:sz="0" w:space="0" w:color="auto"/>
            <w:left w:val="none" w:sz="0" w:space="0" w:color="auto"/>
            <w:bottom w:val="none" w:sz="0" w:space="0" w:color="auto"/>
            <w:right w:val="none" w:sz="0" w:space="0" w:color="auto"/>
          </w:divBdr>
          <w:divsChild>
            <w:div w:id="19553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4842">
      <w:bodyDiv w:val="1"/>
      <w:marLeft w:val="0"/>
      <w:marRight w:val="0"/>
      <w:marTop w:val="0"/>
      <w:marBottom w:val="0"/>
      <w:divBdr>
        <w:top w:val="none" w:sz="0" w:space="0" w:color="auto"/>
        <w:left w:val="none" w:sz="0" w:space="0" w:color="auto"/>
        <w:bottom w:val="none" w:sz="0" w:space="0" w:color="auto"/>
        <w:right w:val="none" w:sz="0" w:space="0" w:color="auto"/>
      </w:divBdr>
      <w:divsChild>
        <w:div w:id="1059399312">
          <w:marLeft w:val="0"/>
          <w:marRight w:val="0"/>
          <w:marTop w:val="0"/>
          <w:marBottom w:val="0"/>
          <w:divBdr>
            <w:top w:val="none" w:sz="0" w:space="0" w:color="auto"/>
            <w:left w:val="none" w:sz="0" w:space="0" w:color="auto"/>
            <w:bottom w:val="none" w:sz="0" w:space="0" w:color="auto"/>
            <w:right w:val="none" w:sz="0" w:space="0" w:color="auto"/>
          </w:divBdr>
        </w:div>
        <w:div w:id="1093210669">
          <w:marLeft w:val="0"/>
          <w:marRight w:val="0"/>
          <w:marTop w:val="0"/>
          <w:marBottom w:val="0"/>
          <w:divBdr>
            <w:top w:val="none" w:sz="0" w:space="0" w:color="auto"/>
            <w:left w:val="none" w:sz="0" w:space="0" w:color="auto"/>
            <w:bottom w:val="none" w:sz="0" w:space="0" w:color="auto"/>
            <w:right w:val="none" w:sz="0" w:space="0" w:color="auto"/>
          </w:divBdr>
          <w:divsChild>
            <w:div w:id="495417871">
              <w:marLeft w:val="0"/>
              <w:marRight w:val="0"/>
              <w:marTop w:val="0"/>
              <w:marBottom w:val="0"/>
              <w:divBdr>
                <w:top w:val="none" w:sz="0" w:space="0" w:color="auto"/>
                <w:left w:val="none" w:sz="0" w:space="0" w:color="auto"/>
                <w:bottom w:val="none" w:sz="0" w:space="0" w:color="auto"/>
                <w:right w:val="none" w:sz="0" w:space="0" w:color="auto"/>
              </w:divBdr>
            </w:div>
          </w:divsChild>
        </w:div>
        <w:div w:id="1657227423">
          <w:marLeft w:val="0"/>
          <w:marRight w:val="0"/>
          <w:marTop w:val="0"/>
          <w:marBottom w:val="0"/>
          <w:divBdr>
            <w:top w:val="none" w:sz="0" w:space="0" w:color="auto"/>
            <w:left w:val="none" w:sz="0" w:space="0" w:color="auto"/>
            <w:bottom w:val="none" w:sz="0" w:space="0" w:color="auto"/>
            <w:right w:val="none" w:sz="0" w:space="0" w:color="auto"/>
          </w:divBdr>
        </w:div>
      </w:divsChild>
    </w:div>
    <w:div w:id="1532648948">
      <w:bodyDiv w:val="1"/>
      <w:marLeft w:val="0"/>
      <w:marRight w:val="0"/>
      <w:marTop w:val="0"/>
      <w:marBottom w:val="0"/>
      <w:divBdr>
        <w:top w:val="none" w:sz="0" w:space="0" w:color="auto"/>
        <w:left w:val="none" w:sz="0" w:space="0" w:color="auto"/>
        <w:bottom w:val="none" w:sz="0" w:space="0" w:color="auto"/>
        <w:right w:val="none" w:sz="0" w:space="0" w:color="auto"/>
      </w:divBdr>
      <w:divsChild>
        <w:div w:id="316959008">
          <w:marLeft w:val="1080"/>
          <w:marRight w:val="0"/>
          <w:marTop w:val="100"/>
          <w:marBottom w:val="0"/>
          <w:divBdr>
            <w:top w:val="none" w:sz="0" w:space="0" w:color="auto"/>
            <w:left w:val="none" w:sz="0" w:space="0" w:color="auto"/>
            <w:bottom w:val="none" w:sz="0" w:space="0" w:color="auto"/>
            <w:right w:val="none" w:sz="0" w:space="0" w:color="auto"/>
          </w:divBdr>
        </w:div>
        <w:div w:id="1407797463">
          <w:marLeft w:val="1080"/>
          <w:marRight w:val="0"/>
          <w:marTop w:val="100"/>
          <w:marBottom w:val="0"/>
          <w:divBdr>
            <w:top w:val="none" w:sz="0" w:space="0" w:color="auto"/>
            <w:left w:val="none" w:sz="0" w:space="0" w:color="auto"/>
            <w:bottom w:val="none" w:sz="0" w:space="0" w:color="auto"/>
            <w:right w:val="none" w:sz="0" w:space="0" w:color="auto"/>
          </w:divBdr>
        </w:div>
        <w:div w:id="19577264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filesext.leg.wa.gov/biennium/2021-22/Pdf/Bills/House%20Passed%20Legislature/1194-S2.PL.pdf?q=2021042008085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A66D-F1D9-4A42-8DEF-CE93BC3C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Carissa (ATG)</dc:creator>
  <cp:keywords/>
  <dc:description/>
  <cp:lastModifiedBy>Warner-King, Kelly</cp:lastModifiedBy>
  <cp:revision>2</cp:revision>
  <dcterms:created xsi:type="dcterms:W3CDTF">2021-04-27T22:26:00Z</dcterms:created>
  <dcterms:modified xsi:type="dcterms:W3CDTF">2021-04-27T22:26:00Z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